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7C" w:rsidRPr="001E4CDF" w:rsidRDefault="009D217C" w:rsidP="009D217C">
      <w:pPr>
        <w:spacing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b/>
          <w:sz w:val="28"/>
          <w:szCs w:val="28"/>
          <w:lang w:val="kk-KZ"/>
        </w:rPr>
        <w:t xml:space="preserve">№ 5 Әдебиеттегі интертексттің қызметі </w:t>
      </w:r>
    </w:p>
    <w:p w:rsidR="009D217C" w:rsidRPr="001E4CDF" w:rsidRDefault="009D217C" w:rsidP="009D217C">
      <w:pPr>
        <w:pStyle w:val="a3"/>
        <w:ind w:firstLine="567"/>
        <w:contextualSpacing/>
        <w:jc w:val="both"/>
        <w:rPr>
          <w:sz w:val="28"/>
          <w:szCs w:val="28"/>
          <w:lang w:val="kk-KZ"/>
        </w:rPr>
      </w:pPr>
      <w:r w:rsidRPr="001E4CDF">
        <w:rPr>
          <w:sz w:val="28"/>
          <w:szCs w:val="28"/>
          <w:lang w:val="kk-KZ"/>
        </w:rPr>
        <w:t>«Введение в литературоведение» деген негізгі ұғымдар мен терминдердің анықтамалығында: «интертекст – анонимді формулалардың жалпы кеңістігі, автоматты және тырнақшасыз берілген дәйексөз, интертекстілік – дәйексөз бен реминисценцияға қарағанда ұғымы кең, сонымен қатар өзгеде әдебиеттің қайнарларымен мәтіннің ұқсас болып келуі, яғни постмодернист (жазушы) бейнелеп отырған жабық дәйексөз болуы мүмкін» деп берілген.</w:t>
      </w:r>
    </w:p>
    <w:p w:rsidR="009D217C" w:rsidRPr="001E4CDF" w:rsidRDefault="009D217C" w:rsidP="009D217C">
      <w:pPr>
        <w:pStyle w:val="a3"/>
        <w:ind w:firstLine="567"/>
        <w:contextualSpacing/>
        <w:jc w:val="both"/>
        <w:rPr>
          <w:sz w:val="28"/>
          <w:szCs w:val="28"/>
          <w:lang w:val="kk-KZ"/>
        </w:rPr>
      </w:pPr>
      <w:r w:rsidRPr="001E4CDF">
        <w:rPr>
          <w:sz w:val="28"/>
          <w:szCs w:val="28"/>
          <w:lang w:val="kk-KZ"/>
        </w:rPr>
        <w:t>Ал, постмодернист аталып жүрген Аслан Жақсылықовтың («Сны окаянных») айтуынша: «Интертекст – өзге тілдердің лексикасынан жиналған ортақ лексика, бір шығармадағы сюжеттің, екінші бір басқа шығармада болуы, ал гипертекст дегеніміз – бір сөйлемнің бірнеше не болмаса бір бетті алуы, яғни күрделі лексика», – дейді. Ал, мәтіннің астарлы ойы (подтекст) дегеніміз – шығарманың екінші қалтарысындағы құпия мағынасы.</w:t>
      </w:r>
    </w:p>
    <w:p w:rsidR="009D217C" w:rsidRPr="001E4CDF" w:rsidRDefault="009D217C" w:rsidP="009D217C">
      <w:pPr>
        <w:pStyle w:val="a3"/>
        <w:ind w:firstLine="567"/>
        <w:contextualSpacing/>
        <w:jc w:val="both"/>
        <w:rPr>
          <w:sz w:val="28"/>
          <w:szCs w:val="28"/>
          <w:lang w:val="kk-KZ"/>
        </w:rPr>
      </w:pPr>
      <w:r w:rsidRPr="001E4CDF">
        <w:rPr>
          <w:sz w:val="28"/>
          <w:szCs w:val="28"/>
          <w:lang w:val="kk-KZ"/>
        </w:rPr>
        <w:t>Мынадай түрлі анықтамалардан шатасып та кетуіміз мүмкін. «Қазіргі қазақ көркем мәтіндеріндегі цитация құбылысы немесе мәтін ішіндегі мәтін» атты монография авторы интертексттің түрлі қырларын қарастыра отырып, қаламгер интертексті өз шығармасына кіргізгенде түрлі мақсатта көздейтінін айта келе, шартты түрде төмендегідей алтыға бөледі:</w:t>
      </w:r>
    </w:p>
    <w:p w:rsidR="009D217C" w:rsidRPr="001E4CDF" w:rsidRDefault="009D217C" w:rsidP="009D217C">
      <w:pPr>
        <w:pStyle w:val="a3"/>
        <w:ind w:firstLine="567"/>
        <w:contextualSpacing/>
        <w:jc w:val="both"/>
        <w:rPr>
          <w:sz w:val="28"/>
          <w:szCs w:val="28"/>
          <w:lang w:val="kk-KZ"/>
        </w:rPr>
      </w:pPr>
      <w:r w:rsidRPr="001E4CDF">
        <w:rPr>
          <w:sz w:val="28"/>
          <w:szCs w:val="28"/>
          <w:lang w:val="kk-KZ"/>
        </w:rPr>
        <w:t>1) өзі эталон мәтін деп санаған көркем шығармамен ассоциация тудыру (бұл жағдайда претекстің жекелеген фрагменті арқылы өз туындысының семантикасын толықтыру, дамыту, байыту);</w:t>
      </w:r>
    </w:p>
    <w:p w:rsidR="009D217C" w:rsidRPr="001E4CDF" w:rsidRDefault="009D217C" w:rsidP="009D217C">
      <w:pPr>
        <w:pStyle w:val="a3"/>
        <w:ind w:firstLine="567"/>
        <w:contextualSpacing/>
        <w:jc w:val="both"/>
        <w:rPr>
          <w:sz w:val="28"/>
          <w:szCs w:val="28"/>
          <w:lang w:val="kk-KZ"/>
        </w:rPr>
      </w:pPr>
      <w:r w:rsidRPr="001E4CDF">
        <w:rPr>
          <w:sz w:val="28"/>
          <w:szCs w:val="28"/>
          <w:lang w:val="kk-KZ"/>
        </w:rPr>
        <w:t>2) бағалау (өз кейіпкерін немесе персонажын интертекспен бағалау, ол бағалау ашық эмпатикадан айқын контрасқа дейін түрліше болуы ықтимал);</w:t>
      </w:r>
    </w:p>
    <w:p w:rsidR="009D217C" w:rsidRPr="001E4CDF" w:rsidRDefault="009D217C" w:rsidP="009D217C">
      <w:pPr>
        <w:pStyle w:val="a3"/>
        <w:ind w:firstLine="567"/>
        <w:contextualSpacing/>
        <w:jc w:val="both"/>
        <w:rPr>
          <w:sz w:val="28"/>
          <w:szCs w:val="28"/>
          <w:lang w:val="kk-KZ"/>
        </w:rPr>
      </w:pPr>
      <w:r w:rsidRPr="001E4CDF">
        <w:rPr>
          <w:sz w:val="28"/>
          <w:szCs w:val="28"/>
          <w:lang w:val="kk-KZ"/>
        </w:rPr>
        <w:t>3) этикеттік (қаламгердің претекст авторына немесе претекске қарым-қатынасы – эмпатикалық, бейтарап немесе ашық сыни көзқарасы);</w:t>
      </w:r>
    </w:p>
    <w:p w:rsidR="009D217C" w:rsidRPr="001E4CDF" w:rsidRDefault="009D217C" w:rsidP="009D217C">
      <w:pPr>
        <w:pStyle w:val="a3"/>
        <w:ind w:firstLine="567"/>
        <w:contextualSpacing/>
        <w:jc w:val="both"/>
        <w:rPr>
          <w:sz w:val="28"/>
          <w:szCs w:val="28"/>
          <w:lang w:val="kk-KZ"/>
        </w:rPr>
      </w:pPr>
      <w:r w:rsidRPr="001E4CDF">
        <w:rPr>
          <w:sz w:val="28"/>
          <w:szCs w:val="28"/>
          <w:lang w:val="kk-KZ"/>
        </w:rPr>
        <w:t>4) айшықтау (өзінің немесе кейіпкерінің, персонажының ойын сабақтау, дәлелдеу, қорытындылау, толықтыру, жалғастыру);</w:t>
      </w:r>
    </w:p>
    <w:p w:rsidR="009D217C" w:rsidRPr="001E4CDF" w:rsidRDefault="009D217C" w:rsidP="009D217C">
      <w:pPr>
        <w:pStyle w:val="a3"/>
        <w:ind w:firstLine="567"/>
        <w:contextualSpacing/>
        <w:jc w:val="both"/>
        <w:rPr>
          <w:sz w:val="28"/>
          <w:szCs w:val="28"/>
          <w:lang w:val="kk-KZ"/>
        </w:rPr>
      </w:pPr>
      <w:r w:rsidRPr="001E4CDF">
        <w:rPr>
          <w:sz w:val="28"/>
          <w:szCs w:val="28"/>
          <w:lang w:val="kk-KZ"/>
        </w:rPr>
        <w:t>5) тілдік-мәдени құзіретін таныту;</w:t>
      </w:r>
    </w:p>
    <w:p w:rsidR="009D217C" w:rsidRPr="001E4CDF" w:rsidRDefault="009D217C" w:rsidP="009D217C">
      <w:pPr>
        <w:pStyle w:val="a3"/>
        <w:ind w:firstLine="567"/>
        <w:contextualSpacing/>
        <w:jc w:val="both"/>
        <w:rPr>
          <w:sz w:val="28"/>
          <w:szCs w:val="28"/>
          <w:lang w:val="kk-KZ"/>
        </w:rPr>
      </w:pPr>
      <w:r w:rsidRPr="001E4CDF">
        <w:rPr>
          <w:sz w:val="28"/>
          <w:szCs w:val="28"/>
          <w:lang w:val="kk-KZ"/>
        </w:rPr>
        <w:t>6) оқырманның мәтінді автор интенциясына сай интерпретациялауына бағыт беру. Интертекстің осындай қырларын ескерсек онда біз талдап отырған шығарманың бойынан мұндай элементтердің кездесетінін байқаймыз. Себебі, әңгімедегі түс өзінің (кейіпкердің) өмірінде болып жатқан оқиғалардың көрінісі.</w:t>
      </w:r>
    </w:p>
    <w:p w:rsidR="008563D0" w:rsidRPr="009D217C" w:rsidRDefault="008563D0">
      <w:pPr>
        <w:rPr>
          <w:lang w:val="kk-KZ"/>
        </w:rPr>
      </w:pPr>
    </w:p>
    <w:sectPr w:rsidR="008563D0" w:rsidRPr="009D217C"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17C"/>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217C"/>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2015-09-19T07:04:00Z</dcterms:created>
  <dcterms:modified xsi:type="dcterms:W3CDTF">2015-09-19T07:04:00Z</dcterms:modified>
</cp:coreProperties>
</file>